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C20C63" w:rsidRDefault="00C20C63" w:rsidP="00092D42">
      <w:pPr>
        <w:spacing w:after="0" w:line="480" w:lineRule="auto"/>
        <w:jc w:val="center"/>
        <w:rPr>
          <w:rFonts w:ascii="Times New Roman" w:hAnsi="Times New Roman" w:cs="Times New Roman"/>
          <w:sz w:val="24"/>
          <w:szCs w:val="24"/>
        </w:rPr>
      </w:pPr>
      <w:r w:rsidRPr="00C20C63">
        <w:rPr>
          <w:rFonts w:ascii="Times New Roman" w:hAnsi="Times New Roman" w:cs="Times New Roman"/>
          <w:sz w:val="24"/>
          <w:szCs w:val="24"/>
        </w:rPr>
        <w:t>Planning for a Community and Organizational Change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w:t>
      </w:r>
      <w:r w:rsidR="00A11081">
        <w:rPr>
          <w:rFonts w:ascii="Times New Roman" w:hAnsi="Times New Roman" w:cs="Times New Roman"/>
          <w:sz w:val="24"/>
          <w:szCs w:val="24"/>
        </w:rPr>
        <w:t>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1081" w:rsidRDefault="00A1108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11081" w:rsidRDefault="00A11081" w:rsidP="00092D42">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6A59E3" w:rsidRPr="006A59E3" w:rsidRDefault="006A59E3" w:rsidP="006A59E3">
      <w:pPr>
        <w:spacing w:after="0" w:line="480" w:lineRule="auto"/>
        <w:jc w:val="center"/>
        <w:rPr>
          <w:rFonts w:ascii="Times New Roman" w:hAnsi="Times New Roman" w:cs="Times New Roman"/>
          <w:b/>
          <w:sz w:val="24"/>
          <w:szCs w:val="24"/>
        </w:rPr>
      </w:pPr>
      <w:r w:rsidRPr="006A59E3">
        <w:rPr>
          <w:rFonts w:ascii="Times New Roman" w:hAnsi="Times New Roman" w:cs="Times New Roman"/>
          <w:b/>
          <w:sz w:val="24"/>
          <w:szCs w:val="24"/>
        </w:rPr>
        <w:lastRenderedPageBreak/>
        <w:t>Benefits of Proposed Health Care System Changes</w:t>
      </w:r>
    </w:p>
    <w:p w:rsidR="006A59E3" w:rsidRDefault="006A59E3" w:rsidP="006A59E3">
      <w:pPr>
        <w:spacing w:after="0" w:line="480" w:lineRule="auto"/>
        <w:ind w:firstLine="720"/>
        <w:rPr>
          <w:rFonts w:ascii="Times New Roman" w:hAnsi="Times New Roman" w:cs="Times New Roman"/>
          <w:sz w:val="24"/>
          <w:szCs w:val="24"/>
        </w:rPr>
      </w:pPr>
      <w:r w:rsidRPr="006A59E3">
        <w:rPr>
          <w:rFonts w:ascii="Times New Roman" w:hAnsi="Times New Roman" w:cs="Times New Roman"/>
          <w:sz w:val="24"/>
          <w:szCs w:val="24"/>
        </w:rPr>
        <w:t xml:space="preserve">From the interview, it is evident that the Jordan community requires several changes in the healthcare system.  Many residents are obese and overweight.   The  Recreation Center Manager, Bike Club President, among other interviewees, acknowledge many residents are out of shape.  The changes in the healthcare system of Jordan should include promoting the availability of affordable healthy food and beverage. Moreover, promoting physical activities and the creation of safe communities in support of physical activities. </w:t>
      </w:r>
      <w:r w:rsidR="00AF323F">
        <w:rPr>
          <w:rFonts w:ascii="Times New Roman" w:hAnsi="Times New Roman" w:cs="Times New Roman"/>
          <w:sz w:val="24"/>
          <w:szCs w:val="24"/>
        </w:rPr>
        <w:t xml:space="preserve">According to </w:t>
      </w:r>
      <w:r w:rsidR="00AF323F" w:rsidRPr="00AF323F">
        <w:rPr>
          <w:rFonts w:ascii="Times New Roman" w:hAnsi="Times New Roman" w:cs="Times New Roman"/>
          <w:sz w:val="24"/>
          <w:szCs w:val="24"/>
        </w:rPr>
        <w:t>Berman</w:t>
      </w:r>
      <w:r w:rsidR="00AF323F">
        <w:rPr>
          <w:rFonts w:ascii="Times New Roman" w:hAnsi="Times New Roman" w:cs="Times New Roman"/>
          <w:sz w:val="24"/>
          <w:szCs w:val="24"/>
        </w:rPr>
        <w:t xml:space="preserve"> et al.</w:t>
      </w:r>
      <w:r w:rsidR="00AF323F" w:rsidRPr="00AF323F">
        <w:rPr>
          <w:rFonts w:ascii="Times New Roman" w:hAnsi="Times New Roman" w:cs="Times New Roman"/>
          <w:sz w:val="24"/>
          <w:szCs w:val="24"/>
        </w:rPr>
        <w:t xml:space="preserve">, </w:t>
      </w:r>
      <w:r w:rsidR="00AF323F">
        <w:rPr>
          <w:rFonts w:ascii="Times New Roman" w:hAnsi="Times New Roman" w:cs="Times New Roman"/>
          <w:sz w:val="24"/>
          <w:szCs w:val="24"/>
        </w:rPr>
        <w:t>(2018)</w:t>
      </w:r>
      <w:r w:rsidR="00AF323F" w:rsidRPr="006A59E3">
        <w:rPr>
          <w:rFonts w:ascii="Times New Roman" w:hAnsi="Times New Roman" w:cs="Times New Roman"/>
          <w:sz w:val="24"/>
          <w:szCs w:val="24"/>
        </w:rPr>
        <w:t xml:space="preserve"> these</w:t>
      </w:r>
      <w:r w:rsidRPr="006A59E3">
        <w:rPr>
          <w:rFonts w:ascii="Times New Roman" w:hAnsi="Times New Roman" w:cs="Times New Roman"/>
          <w:sz w:val="24"/>
          <w:szCs w:val="24"/>
        </w:rPr>
        <w:t xml:space="preserve"> community-based interventions primarily focus on where the people play, live, work and learn. After the elimination the federal tax penalty for not enrolling in health insurance, the proposed changes would guarantee many residents in the community remain healthy and immensely shrink their probability of contradicting chronic diseases such as hypertension.  Hence, residents would need health insurance less.  Further, the changes will bring about widened recognition of expert roles and duties in the community.  </w:t>
      </w:r>
      <w:r w:rsidR="00AF323F" w:rsidRPr="00AF323F">
        <w:rPr>
          <w:rFonts w:ascii="Times New Roman" w:hAnsi="Times New Roman" w:cs="Times New Roman"/>
          <w:sz w:val="24"/>
          <w:szCs w:val="24"/>
        </w:rPr>
        <w:t xml:space="preserve">According to Berman et al., (2018) </w:t>
      </w:r>
      <w:r w:rsidRPr="006A59E3">
        <w:rPr>
          <w:rFonts w:ascii="Times New Roman" w:hAnsi="Times New Roman" w:cs="Times New Roman"/>
          <w:sz w:val="24"/>
          <w:szCs w:val="24"/>
        </w:rPr>
        <w:t xml:space="preserve">with a more fit community, the economy of the community will considerably grow as residents will spend less time seeking medical services hence increasing productivity.  </w:t>
      </w:r>
    </w:p>
    <w:p w:rsidR="006A59E3" w:rsidRPr="006A59E3" w:rsidRDefault="006A59E3" w:rsidP="006A59E3">
      <w:pPr>
        <w:spacing w:after="0" w:line="480" w:lineRule="auto"/>
        <w:ind w:firstLine="720"/>
        <w:jc w:val="center"/>
        <w:rPr>
          <w:rFonts w:ascii="Times New Roman" w:hAnsi="Times New Roman" w:cs="Times New Roman"/>
          <w:b/>
          <w:sz w:val="24"/>
          <w:szCs w:val="24"/>
        </w:rPr>
      </w:pPr>
      <w:r w:rsidRPr="006A59E3">
        <w:rPr>
          <w:rFonts w:ascii="Times New Roman" w:hAnsi="Times New Roman" w:cs="Times New Roman"/>
          <w:b/>
          <w:sz w:val="24"/>
          <w:szCs w:val="24"/>
        </w:rPr>
        <w:t>Barriers to Change</w:t>
      </w:r>
    </w:p>
    <w:p w:rsidR="006A59E3" w:rsidRDefault="006A59E3" w:rsidP="006A59E3">
      <w:pPr>
        <w:spacing w:after="0" w:line="480" w:lineRule="auto"/>
        <w:ind w:firstLine="720"/>
        <w:rPr>
          <w:rFonts w:ascii="Times New Roman" w:hAnsi="Times New Roman" w:cs="Times New Roman"/>
          <w:sz w:val="24"/>
          <w:szCs w:val="24"/>
        </w:rPr>
      </w:pPr>
      <w:r w:rsidRPr="006A59E3">
        <w:rPr>
          <w:rFonts w:ascii="Times New Roman" w:hAnsi="Times New Roman" w:cs="Times New Roman"/>
          <w:sz w:val="24"/>
          <w:szCs w:val="24"/>
        </w:rPr>
        <w:t xml:space="preserve">Employees want to be in know whether it is negative or positive news. Similarly, residents in a community want information.  </w:t>
      </w:r>
      <w:r w:rsidRPr="006A59E3">
        <w:rPr>
          <w:rFonts w:ascii="Times New Roman" w:hAnsi="Times New Roman" w:cs="Times New Roman"/>
          <w:sz w:val="24"/>
          <w:szCs w:val="24"/>
        </w:rPr>
        <w:t>Hence,</w:t>
      </w:r>
      <w:r w:rsidRPr="006A59E3">
        <w:rPr>
          <w:rFonts w:ascii="Times New Roman" w:hAnsi="Times New Roman" w:cs="Times New Roman"/>
          <w:sz w:val="24"/>
          <w:szCs w:val="24"/>
        </w:rPr>
        <w:t xml:space="preserve"> failure or inefficient communication </w:t>
      </w:r>
      <w:r w:rsidRPr="006A59E3">
        <w:rPr>
          <w:rFonts w:ascii="Times New Roman" w:hAnsi="Times New Roman" w:cs="Times New Roman"/>
          <w:sz w:val="24"/>
          <w:szCs w:val="24"/>
        </w:rPr>
        <w:t>in either an organization or a</w:t>
      </w:r>
      <w:r w:rsidRPr="006A59E3">
        <w:rPr>
          <w:rFonts w:ascii="Times New Roman" w:hAnsi="Times New Roman" w:cs="Times New Roman"/>
          <w:sz w:val="24"/>
          <w:szCs w:val="24"/>
        </w:rPr>
        <w:t xml:space="preserve"> community creates a barrier to change.  </w:t>
      </w:r>
      <w:r w:rsidR="00AF323F">
        <w:rPr>
          <w:rFonts w:ascii="Times New Roman" w:hAnsi="Times New Roman" w:cs="Times New Roman"/>
          <w:sz w:val="24"/>
          <w:szCs w:val="24"/>
        </w:rPr>
        <w:t xml:space="preserve">According to </w:t>
      </w:r>
      <w:r w:rsidR="00AF323F" w:rsidRPr="00AF323F">
        <w:rPr>
          <w:rFonts w:ascii="Times New Roman" w:hAnsi="Times New Roman" w:cs="Times New Roman"/>
          <w:sz w:val="24"/>
          <w:szCs w:val="24"/>
        </w:rPr>
        <w:t xml:space="preserve">Quain, </w:t>
      </w:r>
      <w:r w:rsidR="00AF323F">
        <w:rPr>
          <w:rFonts w:ascii="Times New Roman" w:hAnsi="Times New Roman" w:cs="Times New Roman"/>
          <w:sz w:val="24"/>
          <w:szCs w:val="24"/>
        </w:rPr>
        <w:t>(</w:t>
      </w:r>
      <w:r w:rsidR="00AF323F" w:rsidRPr="00AF323F">
        <w:rPr>
          <w:rFonts w:ascii="Times New Roman" w:hAnsi="Times New Roman" w:cs="Times New Roman"/>
          <w:sz w:val="24"/>
          <w:szCs w:val="24"/>
        </w:rPr>
        <w:t>2019)</w:t>
      </w:r>
      <w:r w:rsidR="00AF323F" w:rsidRPr="006A59E3">
        <w:rPr>
          <w:rFonts w:ascii="Times New Roman" w:hAnsi="Times New Roman" w:cs="Times New Roman"/>
          <w:sz w:val="24"/>
          <w:szCs w:val="24"/>
        </w:rPr>
        <w:t xml:space="preserve"> lack</w:t>
      </w:r>
      <w:r w:rsidRPr="006A59E3">
        <w:rPr>
          <w:rFonts w:ascii="Times New Roman" w:hAnsi="Times New Roman" w:cs="Times New Roman"/>
          <w:sz w:val="24"/>
          <w:szCs w:val="24"/>
        </w:rPr>
        <w:t xml:space="preserve"> of proper </w:t>
      </w:r>
      <w:r w:rsidRPr="006A59E3">
        <w:rPr>
          <w:rFonts w:ascii="Times New Roman" w:hAnsi="Times New Roman" w:cs="Times New Roman"/>
          <w:sz w:val="24"/>
          <w:szCs w:val="24"/>
        </w:rPr>
        <w:t>systematic</w:t>
      </w:r>
      <w:r w:rsidRPr="006A59E3">
        <w:rPr>
          <w:rFonts w:ascii="Times New Roman" w:hAnsi="Times New Roman" w:cs="Times New Roman"/>
          <w:sz w:val="24"/>
          <w:szCs w:val="24"/>
        </w:rPr>
        <w:t xml:space="preserve"> planning causes significant problems to organizational change.  Further, lack of employee buy-in to change is a notable barrier to change.  Employees barely support change unless it is one they have lobbied.  Low employee morale derails organizational </w:t>
      </w:r>
      <w:r w:rsidRPr="006A59E3">
        <w:rPr>
          <w:rFonts w:ascii="Times New Roman" w:hAnsi="Times New Roman" w:cs="Times New Roman"/>
          <w:sz w:val="24"/>
          <w:szCs w:val="24"/>
        </w:rPr>
        <w:t>change,</w:t>
      </w:r>
      <w:r w:rsidRPr="006A59E3">
        <w:rPr>
          <w:rFonts w:ascii="Times New Roman" w:hAnsi="Times New Roman" w:cs="Times New Roman"/>
          <w:sz w:val="24"/>
          <w:szCs w:val="24"/>
        </w:rPr>
        <w:t xml:space="preserve"> as the staff is likely to resist the change making it challenging to transition smoothly. </w:t>
      </w:r>
      <w:r w:rsidRPr="006A59E3">
        <w:rPr>
          <w:rFonts w:ascii="Times New Roman" w:hAnsi="Times New Roman" w:cs="Times New Roman"/>
          <w:sz w:val="24"/>
          <w:szCs w:val="24"/>
        </w:rPr>
        <w:lastRenderedPageBreak/>
        <w:t xml:space="preserve">Corporate world, when the majority are not on board with the changes, </w:t>
      </w:r>
      <w:r w:rsidRPr="006A59E3">
        <w:rPr>
          <w:rFonts w:ascii="Times New Roman" w:hAnsi="Times New Roman" w:cs="Times New Roman"/>
          <w:sz w:val="24"/>
          <w:szCs w:val="24"/>
        </w:rPr>
        <w:t>administration is</w:t>
      </w:r>
      <w:r w:rsidRPr="006A59E3">
        <w:rPr>
          <w:rFonts w:ascii="Times New Roman" w:hAnsi="Times New Roman" w:cs="Times New Roman"/>
          <w:sz w:val="24"/>
          <w:szCs w:val="24"/>
        </w:rPr>
        <w:t xml:space="preserve"> likely to face barriers during the process.  Moreover, inadequate resources or budget creates a barrier to organizational change</w:t>
      </w:r>
      <w:r w:rsidR="00AF323F">
        <w:rPr>
          <w:rFonts w:ascii="Times New Roman" w:hAnsi="Times New Roman" w:cs="Times New Roman"/>
          <w:sz w:val="24"/>
          <w:szCs w:val="24"/>
        </w:rPr>
        <w:t xml:space="preserve"> </w:t>
      </w:r>
      <w:r w:rsidR="00AF323F" w:rsidRPr="00AF323F">
        <w:rPr>
          <w:rFonts w:ascii="Times New Roman" w:hAnsi="Times New Roman" w:cs="Times New Roman"/>
          <w:sz w:val="24"/>
          <w:szCs w:val="24"/>
        </w:rPr>
        <w:t>(Quain, 2019)</w:t>
      </w:r>
      <w:r w:rsidRPr="006A59E3">
        <w:rPr>
          <w:rFonts w:ascii="Times New Roman" w:hAnsi="Times New Roman" w:cs="Times New Roman"/>
          <w:sz w:val="24"/>
          <w:szCs w:val="24"/>
        </w:rPr>
        <w:t xml:space="preserve">.  No change can occur in the absence of funding. Changes need to be financed through the entire process. </w:t>
      </w:r>
    </w:p>
    <w:p w:rsidR="006A59E3" w:rsidRPr="006A59E3" w:rsidRDefault="006A59E3" w:rsidP="006A59E3">
      <w:pPr>
        <w:spacing w:after="0" w:line="480" w:lineRule="auto"/>
        <w:ind w:firstLine="720"/>
        <w:jc w:val="center"/>
        <w:rPr>
          <w:rFonts w:ascii="Times New Roman" w:hAnsi="Times New Roman" w:cs="Times New Roman"/>
          <w:b/>
          <w:sz w:val="24"/>
          <w:szCs w:val="24"/>
        </w:rPr>
      </w:pPr>
      <w:r w:rsidRPr="006A59E3">
        <w:rPr>
          <w:rFonts w:ascii="Times New Roman" w:hAnsi="Times New Roman" w:cs="Times New Roman"/>
          <w:b/>
          <w:sz w:val="24"/>
          <w:szCs w:val="24"/>
        </w:rPr>
        <w:t>Changing Barriers into Opportunities</w:t>
      </w:r>
    </w:p>
    <w:p w:rsidR="006A59E3" w:rsidRDefault="006A59E3" w:rsidP="006A59E3">
      <w:pPr>
        <w:spacing w:after="0" w:line="480" w:lineRule="auto"/>
        <w:ind w:firstLine="720"/>
        <w:rPr>
          <w:rFonts w:ascii="Times New Roman" w:hAnsi="Times New Roman" w:cs="Times New Roman"/>
          <w:sz w:val="24"/>
          <w:szCs w:val="24"/>
        </w:rPr>
      </w:pPr>
      <w:r w:rsidRPr="006A59E3">
        <w:rPr>
          <w:rFonts w:ascii="Times New Roman" w:hAnsi="Times New Roman" w:cs="Times New Roman"/>
          <w:sz w:val="24"/>
          <w:szCs w:val="24"/>
        </w:rPr>
        <w:t xml:space="preserve">However, the discussed barriers can be transitioned into opportunities and oversee a smooth transition that benefits a community or an organization.  Efficient and effective communication is integral to the successful implementation of change in an organization or a community.  It is fundamental that employees are kept </w:t>
      </w:r>
      <w:r w:rsidRPr="006A59E3">
        <w:rPr>
          <w:rFonts w:ascii="Times New Roman" w:hAnsi="Times New Roman" w:cs="Times New Roman"/>
          <w:sz w:val="24"/>
          <w:szCs w:val="24"/>
        </w:rPr>
        <w:t>knowledgeable</w:t>
      </w:r>
      <w:r w:rsidRPr="006A59E3">
        <w:rPr>
          <w:rFonts w:ascii="Times New Roman" w:hAnsi="Times New Roman" w:cs="Times New Roman"/>
          <w:sz w:val="24"/>
          <w:szCs w:val="24"/>
        </w:rPr>
        <w:t xml:space="preserve"> and not just bombarded with decisions that have been settled on to implement.   Further, step-to-step planning is fundamental to strategy implementation</w:t>
      </w:r>
      <w:r w:rsidR="00AF323F">
        <w:rPr>
          <w:rFonts w:ascii="Times New Roman" w:hAnsi="Times New Roman" w:cs="Times New Roman"/>
          <w:sz w:val="24"/>
          <w:szCs w:val="24"/>
        </w:rPr>
        <w:t xml:space="preserve"> </w:t>
      </w:r>
      <w:r w:rsidR="00AF323F" w:rsidRPr="00AF323F">
        <w:rPr>
          <w:rFonts w:ascii="Times New Roman" w:hAnsi="Times New Roman" w:cs="Times New Roman"/>
          <w:sz w:val="24"/>
          <w:szCs w:val="24"/>
        </w:rPr>
        <w:t>(Quain, 2019)</w:t>
      </w:r>
      <w:r w:rsidRPr="006A59E3">
        <w:rPr>
          <w:rFonts w:ascii="Times New Roman" w:hAnsi="Times New Roman" w:cs="Times New Roman"/>
          <w:sz w:val="24"/>
          <w:szCs w:val="24"/>
        </w:rPr>
        <w:t>.   The administration has to understand precisely the changes that will take place and the process the change will occur.  It entails assigning roles to the different parties responsible for the changes.  Besides, the employees involved in the process ought to be aware of the timeline as that is a crucial component.  Fundamentally, administration and selected team responsible for change implementation have to plan for downtime or challenges that are likely to derail completion of the project in time.    Essentially</w:t>
      </w:r>
      <w:r w:rsidRPr="006A59E3">
        <w:rPr>
          <w:rFonts w:ascii="Times New Roman" w:hAnsi="Times New Roman" w:cs="Times New Roman"/>
          <w:sz w:val="24"/>
          <w:szCs w:val="24"/>
        </w:rPr>
        <w:t>, employees</w:t>
      </w:r>
      <w:r w:rsidRPr="006A59E3">
        <w:rPr>
          <w:rFonts w:ascii="Times New Roman" w:hAnsi="Times New Roman" w:cs="Times New Roman"/>
          <w:sz w:val="24"/>
          <w:szCs w:val="24"/>
        </w:rPr>
        <w:t xml:space="preserve"> buy-in is a crucial component for any project</w:t>
      </w:r>
      <w:r w:rsidR="00AF323F">
        <w:rPr>
          <w:rFonts w:ascii="Times New Roman" w:hAnsi="Times New Roman" w:cs="Times New Roman"/>
          <w:sz w:val="24"/>
          <w:szCs w:val="24"/>
        </w:rPr>
        <w:t xml:space="preserve"> </w:t>
      </w:r>
      <w:r w:rsidR="00AF323F" w:rsidRPr="00AF323F">
        <w:rPr>
          <w:rFonts w:ascii="Times New Roman" w:hAnsi="Times New Roman" w:cs="Times New Roman"/>
          <w:sz w:val="24"/>
          <w:szCs w:val="24"/>
        </w:rPr>
        <w:t>(Quain, 2019)</w:t>
      </w:r>
      <w:r w:rsidRPr="006A59E3">
        <w:rPr>
          <w:rFonts w:ascii="Times New Roman" w:hAnsi="Times New Roman" w:cs="Times New Roman"/>
          <w:sz w:val="24"/>
          <w:szCs w:val="24"/>
        </w:rPr>
        <w:t xml:space="preserve">.  To increase the level of employee buy-in organization ought to involve employees in the decision making process.  Employees gain a professional and personal stake in an organization when involved in the decision-making process.  Increasing their productivity due to the commitment and hence efficiently implementing strategies. </w:t>
      </w:r>
    </w:p>
    <w:p w:rsidR="00AF323F" w:rsidRDefault="00AF323F" w:rsidP="006A59E3">
      <w:pPr>
        <w:spacing w:after="0" w:line="480" w:lineRule="auto"/>
        <w:ind w:firstLine="720"/>
        <w:jc w:val="center"/>
        <w:rPr>
          <w:rFonts w:ascii="Times New Roman" w:hAnsi="Times New Roman" w:cs="Times New Roman"/>
          <w:b/>
          <w:sz w:val="24"/>
          <w:szCs w:val="24"/>
        </w:rPr>
      </w:pPr>
    </w:p>
    <w:p w:rsidR="00AF323F" w:rsidRDefault="00AF323F" w:rsidP="006A59E3">
      <w:pPr>
        <w:spacing w:after="0" w:line="480" w:lineRule="auto"/>
        <w:ind w:firstLine="720"/>
        <w:jc w:val="center"/>
        <w:rPr>
          <w:rFonts w:ascii="Times New Roman" w:hAnsi="Times New Roman" w:cs="Times New Roman"/>
          <w:b/>
          <w:sz w:val="24"/>
          <w:szCs w:val="24"/>
        </w:rPr>
      </w:pPr>
    </w:p>
    <w:p w:rsidR="006A59E3" w:rsidRPr="006A59E3" w:rsidRDefault="006A59E3" w:rsidP="006A59E3">
      <w:pPr>
        <w:spacing w:after="0" w:line="480" w:lineRule="auto"/>
        <w:ind w:firstLine="720"/>
        <w:jc w:val="center"/>
        <w:rPr>
          <w:rFonts w:ascii="Times New Roman" w:hAnsi="Times New Roman" w:cs="Times New Roman"/>
          <w:b/>
          <w:sz w:val="24"/>
          <w:szCs w:val="24"/>
        </w:rPr>
      </w:pPr>
      <w:r w:rsidRPr="006A59E3">
        <w:rPr>
          <w:rFonts w:ascii="Times New Roman" w:hAnsi="Times New Roman" w:cs="Times New Roman"/>
          <w:b/>
          <w:sz w:val="24"/>
          <w:szCs w:val="24"/>
        </w:rPr>
        <w:lastRenderedPageBreak/>
        <w:t>Understanding from Organizational Stakeholders</w:t>
      </w:r>
    </w:p>
    <w:p w:rsidR="006A59E3" w:rsidRDefault="006A59E3" w:rsidP="006A59E3">
      <w:pPr>
        <w:spacing w:after="0" w:line="480" w:lineRule="auto"/>
        <w:ind w:firstLine="720"/>
        <w:rPr>
          <w:rFonts w:ascii="Times New Roman" w:hAnsi="Times New Roman" w:cs="Times New Roman"/>
          <w:sz w:val="24"/>
          <w:szCs w:val="24"/>
        </w:rPr>
      </w:pPr>
      <w:r w:rsidRPr="006A59E3">
        <w:rPr>
          <w:rFonts w:ascii="Times New Roman" w:hAnsi="Times New Roman" w:cs="Times New Roman"/>
          <w:sz w:val="24"/>
          <w:szCs w:val="24"/>
        </w:rPr>
        <w:t xml:space="preserve"> In healthcare, diverse organizational stakeholders play a vital role in making changes and particularly to a healthcare system.  For this reason, it significant that they not only have to understand the changes but also be acquainted with the evaluation process.  Vitally making the different stakeholders understand the changes requires efficient and effective communication.  Holding a meeting for each of the stakeholder group involved separately to address the changes.  These meetings will explain in detail what the changes entail and how they will affect the particular group of stakeholders. Speaking the language of each stakeholder group will make it easier for them to learn and buy-in.   Later a joint meeting will be held to unitarily address the changes and get a broad consultation on the changes.  Moreover, a clear rationale of the project will be discussed in detail.  Highlighting the benefits and identifying the risks involved.  The program aims at educating Jordan residents on healthy lifestyles to reduce the number of obese and overweight residents.   The number of obese participants will be taken during the commencement of the program. After six months and later at one year the numbers will be re-recorded. If there is a considerable reduction over that period going forward, the project will be considered a success, and the vice versa will only mean the program failed. </w:t>
      </w:r>
    </w:p>
    <w:p w:rsidR="006A59E3" w:rsidRPr="006A59E3" w:rsidRDefault="006A59E3" w:rsidP="006A59E3">
      <w:pPr>
        <w:spacing w:after="0" w:line="480" w:lineRule="auto"/>
        <w:ind w:firstLine="720"/>
        <w:jc w:val="center"/>
        <w:rPr>
          <w:rFonts w:ascii="Times New Roman" w:hAnsi="Times New Roman" w:cs="Times New Roman"/>
          <w:b/>
          <w:sz w:val="24"/>
          <w:szCs w:val="24"/>
        </w:rPr>
      </w:pPr>
      <w:r w:rsidRPr="006A59E3">
        <w:rPr>
          <w:rFonts w:ascii="Times New Roman" w:hAnsi="Times New Roman" w:cs="Times New Roman"/>
          <w:b/>
          <w:sz w:val="24"/>
          <w:szCs w:val="24"/>
        </w:rPr>
        <w:t>Grant Proposal and Associated Budget</w:t>
      </w:r>
    </w:p>
    <w:p w:rsidR="00A11081" w:rsidRDefault="006A59E3" w:rsidP="006A59E3">
      <w:pPr>
        <w:spacing w:after="0" w:line="480" w:lineRule="auto"/>
        <w:ind w:firstLine="720"/>
        <w:rPr>
          <w:rFonts w:ascii="Times New Roman" w:hAnsi="Times New Roman" w:cs="Times New Roman"/>
          <w:sz w:val="24"/>
          <w:szCs w:val="24"/>
        </w:rPr>
      </w:pPr>
      <w:r w:rsidRPr="006A59E3">
        <w:rPr>
          <w:rFonts w:ascii="Times New Roman" w:hAnsi="Times New Roman" w:cs="Times New Roman"/>
          <w:sz w:val="24"/>
          <w:szCs w:val="24"/>
        </w:rPr>
        <w:t>Many Jordan residents are either obese or overweight, which massively contribute to a substantial number of them contracting chronic diseases such as diabetes and hypertension.   The food shelf manager, recreational centre manager, bike club president and urgent care nurse support the observation from the interview conducted.   The bike club president admits its an uphill task to get residents to register while the recreational manager the kids are out of shape.  Introducing educatio</w:t>
      </w:r>
      <w:r w:rsidR="00C20C63">
        <w:rPr>
          <w:rFonts w:ascii="Times New Roman" w:hAnsi="Times New Roman" w:cs="Times New Roman"/>
          <w:sz w:val="24"/>
          <w:szCs w:val="24"/>
        </w:rPr>
        <w:t>nal and community-based program</w:t>
      </w:r>
      <w:r w:rsidRPr="006A59E3">
        <w:rPr>
          <w:rFonts w:ascii="Times New Roman" w:hAnsi="Times New Roman" w:cs="Times New Roman"/>
          <w:sz w:val="24"/>
          <w:szCs w:val="24"/>
        </w:rPr>
        <w:t xml:space="preserve"> to address healthy lifestyles in  Jordan </w:t>
      </w:r>
      <w:r w:rsidRPr="006A59E3">
        <w:rPr>
          <w:rFonts w:ascii="Times New Roman" w:hAnsi="Times New Roman" w:cs="Times New Roman"/>
          <w:sz w:val="24"/>
          <w:szCs w:val="24"/>
        </w:rPr>
        <w:lastRenderedPageBreak/>
        <w:t>would be a constructive healthcare system change.  The benefits of the program cannot be overstated.  The educational and community-based program for Jordan residents significantly improves the availability, accessibility and quality of healthcare in the city, leading to a better quality of life</w:t>
      </w:r>
      <w:r w:rsidR="00AF323F" w:rsidRPr="00AF323F">
        <w:t xml:space="preserve"> </w:t>
      </w:r>
      <w:r w:rsidR="00AF323F" w:rsidRPr="00AF323F">
        <w:rPr>
          <w:rFonts w:ascii="Times New Roman" w:hAnsi="Times New Roman" w:cs="Times New Roman"/>
          <w:sz w:val="24"/>
          <w:szCs w:val="24"/>
        </w:rPr>
        <w:t>("How Can Rural Communities Address Obesity? - Rural Obesity Prevention Toolkit", 2019)</w:t>
      </w:r>
      <w:r w:rsidRPr="006A59E3">
        <w:rPr>
          <w:rFonts w:ascii="Times New Roman" w:hAnsi="Times New Roman" w:cs="Times New Roman"/>
          <w:sz w:val="24"/>
          <w:szCs w:val="24"/>
        </w:rPr>
        <w:t>. The program benefits the insured and uninsured in the community in numerous ways.  Through community-based education program on a healthy lifestyle, the program improves access to outdoor recreational activities and physical activity such as cycling. Moreover, it not only emphasizes on healthy feeding habits but also on the significance of getting health insurance.</w:t>
      </w:r>
    </w:p>
    <w:p w:rsidR="00C20C63" w:rsidRPr="00AF323F" w:rsidRDefault="00C20C63" w:rsidP="00AF323F">
      <w:pPr>
        <w:spacing w:after="0" w:line="480" w:lineRule="auto"/>
        <w:ind w:firstLine="720"/>
        <w:jc w:val="center"/>
        <w:rPr>
          <w:rFonts w:ascii="Times New Roman" w:hAnsi="Times New Roman" w:cs="Times New Roman"/>
          <w:b/>
          <w:sz w:val="24"/>
          <w:szCs w:val="24"/>
        </w:rPr>
      </w:pPr>
      <w:r w:rsidRPr="00AF323F">
        <w:rPr>
          <w:rFonts w:ascii="Times New Roman" w:hAnsi="Times New Roman" w:cs="Times New Roman"/>
          <w:b/>
          <w:sz w:val="24"/>
          <w:szCs w:val="24"/>
        </w:rPr>
        <w:t>Project Budget for Community Education Initiative</w:t>
      </w:r>
    </w:p>
    <w:tbl>
      <w:tblPr>
        <w:tblStyle w:val="TableGrid"/>
        <w:tblW w:w="0" w:type="auto"/>
        <w:tblLook w:val="04A0" w:firstRow="1" w:lastRow="0" w:firstColumn="1" w:lastColumn="0" w:noHBand="0" w:noVBand="1"/>
      </w:tblPr>
      <w:tblGrid>
        <w:gridCol w:w="3192"/>
        <w:gridCol w:w="3192"/>
        <w:gridCol w:w="3192"/>
      </w:tblGrid>
      <w:tr w:rsidR="00C20C63" w:rsidTr="00C20C63">
        <w:tc>
          <w:tcPr>
            <w:tcW w:w="3192" w:type="dxa"/>
          </w:tcPr>
          <w:p w:rsidR="00C20C63" w:rsidRPr="00C20C63" w:rsidRDefault="00C20C63" w:rsidP="00C20C63">
            <w:pPr>
              <w:spacing w:line="480" w:lineRule="auto"/>
              <w:rPr>
                <w:rFonts w:ascii="Times New Roman" w:hAnsi="Times New Roman" w:cs="Times New Roman"/>
                <w:b/>
                <w:sz w:val="24"/>
                <w:szCs w:val="24"/>
              </w:rPr>
            </w:pPr>
            <w:r w:rsidRPr="00C20C63">
              <w:rPr>
                <w:rFonts w:ascii="Times New Roman" w:hAnsi="Times New Roman" w:cs="Times New Roman"/>
                <w:b/>
                <w:sz w:val="24"/>
                <w:szCs w:val="24"/>
              </w:rPr>
              <w:t>Staffing/Project Oversight</w:t>
            </w:r>
          </w:p>
          <w:p w:rsidR="00C20C63" w:rsidRPr="00C20C63" w:rsidRDefault="00C20C63" w:rsidP="00C20C63">
            <w:pPr>
              <w:spacing w:line="480" w:lineRule="auto"/>
              <w:rPr>
                <w:rFonts w:ascii="Times New Roman" w:hAnsi="Times New Roman" w:cs="Times New Roman"/>
                <w:sz w:val="24"/>
                <w:szCs w:val="24"/>
              </w:rPr>
            </w:pPr>
            <w:r w:rsidRPr="00C20C63">
              <w:rPr>
                <w:rFonts w:ascii="Times New Roman" w:hAnsi="Times New Roman" w:cs="Times New Roman"/>
                <w:sz w:val="24"/>
                <w:szCs w:val="24"/>
              </w:rPr>
              <w:t>Staffing (</w:t>
            </w:r>
            <w:r>
              <w:rPr>
                <w:rFonts w:ascii="Times New Roman" w:hAnsi="Times New Roman" w:cs="Times New Roman"/>
                <w:sz w:val="24"/>
                <w:szCs w:val="24"/>
              </w:rPr>
              <w:t>for research, planning,</w:t>
            </w:r>
            <w:r w:rsidRPr="00C20C63">
              <w:rPr>
                <w:rFonts w:ascii="Times New Roman" w:hAnsi="Times New Roman" w:cs="Times New Roman"/>
                <w:sz w:val="24"/>
                <w:szCs w:val="24"/>
              </w:rPr>
              <w:t>resource materials, logistics, etc.)</w:t>
            </w:r>
          </w:p>
          <w:p w:rsidR="00C20C63" w:rsidRDefault="00C20C63" w:rsidP="00C20C63">
            <w:pPr>
              <w:spacing w:line="480" w:lineRule="auto"/>
              <w:rPr>
                <w:rFonts w:ascii="Times New Roman" w:hAnsi="Times New Roman" w:cs="Times New Roman"/>
                <w:sz w:val="24"/>
                <w:szCs w:val="24"/>
              </w:rPr>
            </w:pPr>
            <w:r w:rsidRPr="00C20C63">
              <w:rPr>
                <w:rFonts w:ascii="Times New Roman" w:hAnsi="Times New Roman" w:cs="Times New Roman"/>
                <w:sz w:val="24"/>
                <w:szCs w:val="24"/>
              </w:rPr>
              <w:t xml:space="preserve">Consultants (for building toolkits and facilitation)    </w:t>
            </w:r>
            <w:r w:rsidRPr="00C20C63">
              <w:rPr>
                <w:rFonts w:ascii="Times New Roman" w:hAnsi="Times New Roman" w:cs="Times New Roman"/>
                <w:b/>
                <w:sz w:val="24"/>
                <w:szCs w:val="24"/>
              </w:rPr>
              <w:t>Personnel Subtotal</w:t>
            </w:r>
          </w:p>
        </w:tc>
        <w:tc>
          <w:tcPr>
            <w:tcW w:w="3192" w:type="dxa"/>
          </w:tcPr>
          <w:p w:rsidR="00C20C63" w:rsidRDefault="00C20C63" w:rsidP="00C20C63">
            <w:pPr>
              <w:spacing w:line="480" w:lineRule="auto"/>
              <w:rPr>
                <w:rFonts w:ascii="Times New Roman" w:hAnsi="Times New Roman" w:cs="Times New Roman"/>
                <w:sz w:val="24"/>
                <w:szCs w:val="24"/>
              </w:rPr>
            </w:pPr>
          </w:p>
          <w:p w:rsidR="00C20C63" w:rsidRDefault="00C20C63" w:rsidP="00C20C63">
            <w:pPr>
              <w:spacing w:line="480" w:lineRule="auto"/>
              <w:rPr>
                <w:rFonts w:ascii="Times New Roman" w:hAnsi="Times New Roman" w:cs="Times New Roman"/>
                <w:sz w:val="24"/>
                <w:szCs w:val="24"/>
              </w:rPr>
            </w:pPr>
          </w:p>
          <w:p w:rsidR="00C20C63" w:rsidRDefault="00C20C63" w:rsidP="00C20C63">
            <w:pPr>
              <w:spacing w:line="480" w:lineRule="auto"/>
              <w:rPr>
                <w:rFonts w:ascii="Times New Roman" w:hAnsi="Times New Roman" w:cs="Times New Roman"/>
                <w:sz w:val="24"/>
                <w:szCs w:val="24"/>
              </w:rPr>
            </w:pPr>
            <w:r>
              <w:rPr>
                <w:rFonts w:ascii="Times New Roman" w:hAnsi="Times New Roman" w:cs="Times New Roman"/>
                <w:sz w:val="24"/>
                <w:szCs w:val="24"/>
              </w:rPr>
              <w:t>$50,000.00</w:t>
            </w:r>
          </w:p>
          <w:p w:rsidR="00C20C63" w:rsidRDefault="00C20C63" w:rsidP="00C20C63">
            <w:pPr>
              <w:spacing w:line="480" w:lineRule="auto"/>
              <w:rPr>
                <w:rFonts w:ascii="Times New Roman" w:hAnsi="Times New Roman" w:cs="Times New Roman"/>
                <w:sz w:val="24"/>
                <w:szCs w:val="24"/>
              </w:rPr>
            </w:pPr>
          </w:p>
          <w:p w:rsidR="00C20C63" w:rsidRDefault="00C20C63" w:rsidP="00C20C63">
            <w:pPr>
              <w:spacing w:line="480" w:lineRule="auto"/>
              <w:rPr>
                <w:rFonts w:ascii="Times New Roman" w:hAnsi="Times New Roman" w:cs="Times New Roman"/>
                <w:sz w:val="24"/>
                <w:szCs w:val="24"/>
              </w:rPr>
            </w:pPr>
            <w:r w:rsidRPr="00C20C63">
              <w:rPr>
                <w:rFonts w:ascii="Times New Roman" w:hAnsi="Times New Roman" w:cs="Times New Roman"/>
                <w:sz w:val="24"/>
                <w:szCs w:val="24"/>
              </w:rPr>
              <w:t>$25,000.00</w:t>
            </w:r>
          </w:p>
          <w:p w:rsidR="00C20C63" w:rsidRDefault="00C20C63" w:rsidP="00C20C63">
            <w:pPr>
              <w:spacing w:line="480" w:lineRule="auto"/>
              <w:rPr>
                <w:rFonts w:ascii="Times New Roman" w:hAnsi="Times New Roman" w:cs="Times New Roman"/>
                <w:sz w:val="24"/>
                <w:szCs w:val="24"/>
              </w:rPr>
            </w:pPr>
          </w:p>
          <w:p w:rsidR="00C20C63" w:rsidRPr="000B5371" w:rsidRDefault="00C20C63" w:rsidP="00C20C63">
            <w:pPr>
              <w:spacing w:line="480" w:lineRule="auto"/>
              <w:rPr>
                <w:rFonts w:ascii="Times New Roman" w:hAnsi="Times New Roman" w:cs="Times New Roman"/>
                <w:b/>
                <w:sz w:val="24"/>
                <w:szCs w:val="24"/>
              </w:rPr>
            </w:pPr>
            <w:r w:rsidRPr="000B5371">
              <w:rPr>
                <w:rFonts w:ascii="Times New Roman" w:hAnsi="Times New Roman" w:cs="Times New Roman"/>
                <w:b/>
                <w:sz w:val="24"/>
                <w:szCs w:val="24"/>
              </w:rPr>
              <w:t>$75,000.00</w:t>
            </w:r>
          </w:p>
          <w:p w:rsidR="00C20C63" w:rsidRDefault="00C20C63" w:rsidP="00C20C63">
            <w:pPr>
              <w:spacing w:line="480" w:lineRule="auto"/>
              <w:rPr>
                <w:rFonts w:ascii="Times New Roman" w:hAnsi="Times New Roman" w:cs="Times New Roman"/>
                <w:sz w:val="24"/>
                <w:szCs w:val="24"/>
              </w:rPr>
            </w:pPr>
          </w:p>
        </w:tc>
        <w:tc>
          <w:tcPr>
            <w:tcW w:w="3192" w:type="dxa"/>
          </w:tcPr>
          <w:p w:rsidR="00C20C63" w:rsidRDefault="00C20C63" w:rsidP="00C20C63">
            <w:pPr>
              <w:spacing w:line="480" w:lineRule="auto"/>
              <w:rPr>
                <w:rFonts w:ascii="Times New Roman" w:hAnsi="Times New Roman" w:cs="Times New Roman"/>
                <w:sz w:val="24"/>
                <w:szCs w:val="24"/>
              </w:rPr>
            </w:pPr>
          </w:p>
        </w:tc>
      </w:tr>
      <w:tr w:rsidR="00C20C63" w:rsidTr="00C20C63">
        <w:tc>
          <w:tcPr>
            <w:tcW w:w="3192" w:type="dxa"/>
          </w:tcPr>
          <w:p w:rsidR="000B5371" w:rsidRPr="000B5371" w:rsidRDefault="000B5371" w:rsidP="000B5371">
            <w:pPr>
              <w:spacing w:line="480" w:lineRule="auto"/>
              <w:rPr>
                <w:rFonts w:ascii="Times New Roman" w:hAnsi="Times New Roman" w:cs="Times New Roman"/>
                <w:b/>
                <w:sz w:val="24"/>
                <w:szCs w:val="24"/>
              </w:rPr>
            </w:pPr>
            <w:r w:rsidRPr="000B5371">
              <w:rPr>
                <w:rFonts w:ascii="Times New Roman" w:hAnsi="Times New Roman" w:cs="Times New Roman"/>
                <w:b/>
                <w:sz w:val="24"/>
                <w:szCs w:val="24"/>
              </w:rPr>
              <w:t>Direct Expenses</w:t>
            </w:r>
          </w:p>
          <w:p w:rsidR="000B5371" w:rsidRPr="000B5371" w:rsidRDefault="000B5371" w:rsidP="000B5371">
            <w:pPr>
              <w:spacing w:line="480" w:lineRule="auto"/>
              <w:rPr>
                <w:rFonts w:ascii="Times New Roman" w:hAnsi="Times New Roman" w:cs="Times New Roman"/>
                <w:sz w:val="24"/>
                <w:szCs w:val="24"/>
              </w:rPr>
            </w:pPr>
            <w:r w:rsidRPr="000B5371">
              <w:rPr>
                <w:rFonts w:ascii="Times New Roman" w:hAnsi="Times New Roman" w:cs="Times New Roman"/>
                <w:sz w:val="24"/>
                <w:szCs w:val="24"/>
              </w:rPr>
              <w:t xml:space="preserve">Travel for Speakers </w:t>
            </w:r>
          </w:p>
          <w:p w:rsidR="000B5371" w:rsidRDefault="000B5371" w:rsidP="000B5371">
            <w:pPr>
              <w:spacing w:line="480" w:lineRule="auto"/>
              <w:rPr>
                <w:rFonts w:ascii="Times New Roman" w:hAnsi="Times New Roman" w:cs="Times New Roman"/>
                <w:sz w:val="24"/>
                <w:szCs w:val="24"/>
              </w:rPr>
            </w:pPr>
            <w:r w:rsidRPr="000B5371">
              <w:rPr>
                <w:rFonts w:ascii="Times New Roman" w:hAnsi="Times New Roman" w:cs="Times New Roman"/>
                <w:sz w:val="24"/>
                <w:szCs w:val="24"/>
              </w:rPr>
              <w:t xml:space="preserve">Meetings and other travel costs </w:t>
            </w:r>
          </w:p>
          <w:p w:rsidR="000B5371" w:rsidRDefault="000B5371" w:rsidP="000B5371">
            <w:pPr>
              <w:spacing w:line="480" w:lineRule="auto"/>
              <w:rPr>
                <w:rFonts w:ascii="Times New Roman" w:hAnsi="Times New Roman" w:cs="Times New Roman"/>
                <w:sz w:val="24"/>
                <w:szCs w:val="24"/>
              </w:rPr>
            </w:pPr>
            <w:r w:rsidRPr="000B5371">
              <w:rPr>
                <w:rFonts w:ascii="Times New Roman" w:hAnsi="Times New Roman" w:cs="Times New Roman"/>
                <w:sz w:val="24"/>
                <w:szCs w:val="24"/>
              </w:rPr>
              <w:t xml:space="preserve">Travel for consultants </w:t>
            </w:r>
            <w:r w:rsidRPr="000B5371">
              <w:rPr>
                <w:rFonts w:ascii="Times New Roman" w:hAnsi="Times New Roman" w:cs="Times New Roman"/>
                <w:sz w:val="24"/>
                <w:szCs w:val="24"/>
              </w:rPr>
              <w:lastRenderedPageBreak/>
              <w:t xml:space="preserve">Printing/Design (toolkit resource) </w:t>
            </w:r>
          </w:p>
          <w:p w:rsidR="00C20C63" w:rsidRPr="000B5371" w:rsidRDefault="000B5371" w:rsidP="000B5371">
            <w:pPr>
              <w:spacing w:line="480" w:lineRule="auto"/>
              <w:rPr>
                <w:rFonts w:ascii="Times New Roman" w:hAnsi="Times New Roman" w:cs="Times New Roman"/>
                <w:b/>
                <w:sz w:val="24"/>
                <w:szCs w:val="24"/>
              </w:rPr>
            </w:pPr>
            <w:r w:rsidRPr="000B5371">
              <w:rPr>
                <w:rFonts w:ascii="Times New Roman" w:hAnsi="Times New Roman" w:cs="Times New Roman"/>
                <w:b/>
                <w:sz w:val="24"/>
                <w:szCs w:val="24"/>
              </w:rPr>
              <w:t xml:space="preserve">   Direct Expenses Subtotal </w:t>
            </w:r>
          </w:p>
        </w:tc>
        <w:tc>
          <w:tcPr>
            <w:tcW w:w="3192" w:type="dxa"/>
          </w:tcPr>
          <w:p w:rsidR="00C20C63" w:rsidRDefault="00C20C63" w:rsidP="00C20C63">
            <w:pPr>
              <w:spacing w:line="480" w:lineRule="auto"/>
              <w:rPr>
                <w:rFonts w:ascii="Times New Roman" w:hAnsi="Times New Roman" w:cs="Times New Roman"/>
                <w:sz w:val="24"/>
                <w:szCs w:val="24"/>
              </w:rPr>
            </w:pPr>
          </w:p>
          <w:p w:rsidR="000B5371" w:rsidRDefault="000B5371" w:rsidP="00C20C63">
            <w:pPr>
              <w:spacing w:line="480" w:lineRule="auto"/>
              <w:rPr>
                <w:rFonts w:ascii="Times New Roman" w:hAnsi="Times New Roman" w:cs="Times New Roman"/>
                <w:sz w:val="24"/>
                <w:szCs w:val="24"/>
              </w:rPr>
            </w:pPr>
            <w:r w:rsidRPr="000B5371">
              <w:rPr>
                <w:rFonts w:ascii="Times New Roman" w:hAnsi="Times New Roman" w:cs="Times New Roman"/>
                <w:sz w:val="24"/>
                <w:szCs w:val="24"/>
              </w:rPr>
              <w:t>$8,000.00</w:t>
            </w:r>
          </w:p>
          <w:p w:rsidR="000B5371" w:rsidRDefault="000B5371" w:rsidP="00C20C63">
            <w:pPr>
              <w:spacing w:line="480" w:lineRule="auto"/>
              <w:rPr>
                <w:rFonts w:ascii="Times New Roman" w:hAnsi="Times New Roman" w:cs="Times New Roman"/>
                <w:sz w:val="24"/>
                <w:szCs w:val="24"/>
              </w:rPr>
            </w:pPr>
            <w:r w:rsidRPr="000B5371">
              <w:rPr>
                <w:rFonts w:ascii="Times New Roman" w:hAnsi="Times New Roman" w:cs="Times New Roman"/>
                <w:sz w:val="24"/>
                <w:szCs w:val="24"/>
              </w:rPr>
              <w:t>$10,000.00</w:t>
            </w:r>
          </w:p>
          <w:p w:rsidR="000B5371" w:rsidRDefault="000B5371" w:rsidP="00C20C63">
            <w:pPr>
              <w:spacing w:line="480" w:lineRule="auto"/>
              <w:rPr>
                <w:rFonts w:ascii="Times New Roman" w:hAnsi="Times New Roman" w:cs="Times New Roman"/>
                <w:sz w:val="24"/>
                <w:szCs w:val="24"/>
              </w:rPr>
            </w:pPr>
          </w:p>
          <w:p w:rsidR="000B5371" w:rsidRDefault="000B5371" w:rsidP="00C20C63">
            <w:pPr>
              <w:spacing w:line="480" w:lineRule="auto"/>
              <w:rPr>
                <w:rFonts w:ascii="Times New Roman" w:hAnsi="Times New Roman" w:cs="Times New Roman"/>
                <w:sz w:val="24"/>
                <w:szCs w:val="24"/>
              </w:rPr>
            </w:pPr>
            <w:r w:rsidRPr="000B5371">
              <w:rPr>
                <w:rFonts w:ascii="Times New Roman" w:hAnsi="Times New Roman" w:cs="Times New Roman"/>
                <w:sz w:val="24"/>
                <w:szCs w:val="24"/>
              </w:rPr>
              <w:t>$3,000.00</w:t>
            </w:r>
          </w:p>
          <w:p w:rsidR="000B5371" w:rsidRDefault="000B5371" w:rsidP="00C20C63">
            <w:pPr>
              <w:spacing w:line="480" w:lineRule="auto"/>
              <w:rPr>
                <w:rFonts w:ascii="Times New Roman" w:hAnsi="Times New Roman" w:cs="Times New Roman"/>
                <w:sz w:val="24"/>
                <w:szCs w:val="24"/>
              </w:rPr>
            </w:pPr>
            <w:r w:rsidRPr="000B5371">
              <w:rPr>
                <w:rFonts w:ascii="Times New Roman" w:hAnsi="Times New Roman" w:cs="Times New Roman"/>
                <w:sz w:val="24"/>
                <w:szCs w:val="24"/>
              </w:rPr>
              <w:lastRenderedPageBreak/>
              <w:t>$6,000.00</w:t>
            </w:r>
          </w:p>
          <w:p w:rsidR="000B5371" w:rsidRDefault="000B5371" w:rsidP="00C20C63">
            <w:pPr>
              <w:spacing w:line="480" w:lineRule="auto"/>
              <w:rPr>
                <w:rFonts w:ascii="Times New Roman" w:hAnsi="Times New Roman" w:cs="Times New Roman"/>
                <w:sz w:val="24"/>
                <w:szCs w:val="24"/>
              </w:rPr>
            </w:pPr>
          </w:p>
          <w:p w:rsidR="000B5371" w:rsidRPr="000B5371" w:rsidRDefault="000B5371" w:rsidP="00C20C63">
            <w:pPr>
              <w:spacing w:line="480" w:lineRule="auto"/>
              <w:rPr>
                <w:rFonts w:ascii="Times New Roman" w:hAnsi="Times New Roman" w:cs="Times New Roman"/>
                <w:b/>
                <w:sz w:val="24"/>
                <w:szCs w:val="24"/>
              </w:rPr>
            </w:pPr>
            <w:r w:rsidRPr="000B5371">
              <w:rPr>
                <w:rFonts w:ascii="Times New Roman" w:hAnsi="Times New Roman" w:cs="Times New Roman"/>
                <w:b/>
                <w:sz w:val="24"/>
                <w:szCs w:val="24"/>
              </w:rPr>
              <w:t>$27,000.00</w:t>
            </w:r>
          </w:p>
        </w:tc>
        <w:tc>
          <w:tcPr>
            <w:tcW w:w="3192" w:type="dxa"/>
          </w:tcPr>
          <w:p w:rsidR="00C20C63" w:rsidRDefault="00C20C63" w:rsidP="00C20C63">
            <w:pPr>
              <w:spacing w:line="480" w:lineRule="auto"/>
              <w:rPr>
                <w:rFonts w:ascii="Times New Roman" w:hAnsi="Times New Roman" w:cs="Times New Roman"/>
                <w:sz w:val="24"/>
                <w:szCs w:val="24"/>
              </w:rPr>
            </w:pPr>
          </w:p>
        </w:tc>
      </w:tr>
      <w:tr w:rsidR="00C20C63" w:rsidTr="00C20C63">
        <w:tc>
          <w:tcPr>
            <w:tcW w:w="3192" w:type="dxa"/>
          </w:tcPr>
          <w:p w:rsidR="00863A05" w:rsidRPr="00863A05" w:rsidRDefault="00863A05" w:rsidP="00863A05">
            <w:pPr>
              <w:spacing w:line="480" w:lineRule="auto"/>
              <w:rPr>
                <w:rFonts w:ascii="Times New Roman" w:hAnsi="Times New Roman" w:cs="Times New Roman"/>
                <w:b/>
                <w:sz w:val="24"/>
                <w:szCs w:val="24"/>
              </w:rPr>
            </w:pPr>
            <w:r w:rsidRPr="00863A05">
              <w:rPr>
                <w:rFonts w:ascii="Times New Roman" w:hAnsi="Times New Roman" w:cs="Times New Roman"/>
                <w:b/>
                <w:sz w:val="24"/>
                <w:szCs w:val="24"/>
              </w:rPr>
              <w:lastRenderedPageBreak/>
              <w:t>Other Expenses</w:t>
            </w:r>
          </w:p>
          <w:p w:rsidR="00863A05" w:rsidRDefault="00863A05" w:rsidP="00863A05">
            <w:pPr>
              <w:spacing w:line="480" w:lineRule="auto"/>
              <w:rPr>
                <w:rFonts w:ascii="Times New Roman" w:hAnsi="Times New Roman" w:cs="Times New Roman"/>
                <w:sz w:val="24"/>
                <w:szCs w:val="24"/>
              </w:rPr>
            </w:pPr>
            <w:r w:rsidRPr="00863A05">
              <w:rPr>
                <w:rFonts w:ascii="Times New Roman" w:hAnsi="Times New Roman" w:cs="Times New Roman"/>
                <w:sz w:val="24"/>
                <w:szCs w:val="24"/>
              </w:rPr>
              <w:t>Speaker stipends (optional) Sub</w:t>
            </w:r>
            <w:r w:rsidRPr="00863A05">
              <w:rPr>
                <w:rFonts w:ascii="Cambria Math" w:hAnsi="Cambria Math" w:cs="Cambria Math"/>
                <w:sz w:val="24"/>
                <w:szCs w:val="24"/>
              </w:rPr>
              <w:t>‐</w:t>
            </w:r>
            <w:r w:rsidRPr="00863A05">
              <w:rPr>
                <w:rFonts w:ascii="Times New Roman" w:hAnsi="Times New Roman" w:cs="Times New Roman"/>
                <w:sz w:val="24"/>
                <w:szCs w:val="24"/>
              </w:rPr>
              <w:t xml:space="preserve">grant to affiliated organization </w:t>
            </w:r>
          </w:p>
          <w:p w:rsidR="00C20C63" w:rsidRPr="00863A05" w:rsidRDefault="00863A05" w:rsidP="00863A05">
            <w:pPr>
              <w:spacing w:line="480" w:lineRule="auto"/>
              <w:rPr>
                <w:rFonts w:ascii="Times New Roman" w:hAnsi="Times New Roman" w:cs="Times New Roman"/>
                <w:b/>
                <w:sz w:val="24"/>
                <w:szCs w:val="24"/>
              </w:rPr>
            </w:pPr>
            <w:r w:rsidRPr="00863A05">
              <w:rPr>
                <w:rFonts w:ascii="Times New Roman" w:hAnsi="Times New Roman" w:cs="Times New Roman"/>
                <w:sz w:val="24"/>
                <w:szCs w:val="24"/>
              </w:rPr>
              <w:t xml:space="preserve">    </w:t>
            </w:r>
            <w:r w:rsidRPr="00863A05">
              <w:rPr>
                <w:rFonts w:ascii="Times New Roman" w:hAnsi="Times New Roman" w:cs="Times New Roman"/>
                <w:b/>
                <w:sz w:val="24"/>
                <w:szCs w:val="24"/>
              </w:rPr>
              <w:t xml:space="preserve">Partner Expenses Subtotal </w:t>
            </w:r>
          </w:p>
        </w:tc>
        <w:tc>
          <w:tcPr>
            <w:tcW w:w="3192" w:type="dxa"/>
          </w:tcPr>
          <w:p w:rsidR="00863A05" w:rsidRDefault="00863A05" w:rsidP="00C20C63">
            <w:pPr>
              <w:spacing w:line="480" w:lineRule="auto"/>
              <w:rPr>
                <w:rFonts w:ascii="Times New Roman" w:hAnsi="Times New Roman" w:cs="Times New Roman"/>
                <w:sz w:val="24"/>
                <w:szCs w:val="24"/>
              </w:rPr>
            </w:pPr>
          </w:p>
          <w:p w:rsidR="00C20C63" w:rsidRDefault="00863A05" w:rsidP="00C20C63">
            <w:pPr>
              <w:spacing w:line="480" w:lineRule="auto"/>
              <w:rPr>
                <w:rFonts w:ascii="Times New Roman" w:hAnsi="Times New Roman" w:cs="Times New Roman"/>
                <w:sz w:val="24"/>
                <w:szCs w:val="24"/>
              </w:rPr>
            </w:pPr>
            <w:r w:rsidRPr="00863A05">
              <w:rPr>
                <w:rFonts w:ascii="Times New Roman" w:hAnsi="Times New Roman" w:cs="Times New Roman"/>
                <w:sz w:val="24"/>
                <w:szCs w:val="24"/>
              </w:rPr>
              <w:t>$3,000.00</w:t>
            </w:r>
          </w:p>
          <w:p w:rsidR="00863A05" w:rsidRDefault="00863A05" w:rsidP="00C20C63">
            <w:pPr>
              <w:spacing w:line="480" w:lineRule="auto"/>
              <w:rPr>
                <w:rFonts w:ascii="Times New Roman" w:hAnsi="Times New Roman" w:cs="Times New Roman"/>
                <w:sz w:val="24"/>
                <w:szCs w:val="24"/>
              </w:rPr>
            </w:pPr>
            <w:r w:rsidRPr="00863A05">
              <w:rPr>
                <w:rFonts w:ascii="Times New Roman" w:hAnsi="Times New Roman" w:cs="Times New Roman"/>
                <w:sz w:val="24"/>
                <w:szCs w:val="24"/>
              </w:rPr>
              <w:t>$5,000.00</w:t>
            </w:r>
          </w:p>
          <w:p w:rsidR="00863A05" w:rsidRDefault="00863A05" w:rsidP="00C20C63">
            <w:pPr>
              <w:spacing w:line="480" w:lineRule="auto"/>
              <w:rPr>
                <w:rFonts w:ascii="Times New Roman" w:hAnsi="Times New Roman" w:cs="Times New Roman"/>
                <w:sz w:val="24"/>
                <w:szCs w:val="24"/>
              </w:rPr>
            </w:pPr>
          </w:p>
          <w:p w:rsidR="00863A05" w:rsidRPr="00863A05" w:rsidRDefault="00863A05" w:rsidP="00C20C63">
            <w:pPr>
              <w:spacing w:line="480" w:lineRule="auto"/>
              <w:rPr>
                <w:rFonts w:ascii="Times New Roman" w:hAnsi="Times New Roman" w:cs="Times New Roman"/>
                <w:b/>
                <w:sz w:val="24"/>
                <w:szCs w:val="24"/>
              </w:rPr>
            </w:pPr>
            <w:r w:rsidRPr="00863A05">
              <w:rPr>
                <w:rFonts w:ascii="Times New Roman" w:hAnsi="Times New Roman" w:cs="Times New Roman"/>
                <w:b/>
                <w:sz w:val="24"/>
                <w:szCs w:val="24"/>
              </w:rPr>
              <w:t>$8,000.00</w:t>
            </w:r>
          </w:p>
        </w:tc>
        <w:tc>
          <w:tcPr>
            <w:tcW w:w="3192" w:type="dxa"/>
          </w:tcPr>
          <w:p w:rsidR="00C20C63" w:rsidRDefault="00C20C63" w:rsidP="00C20C63">
            <w:pPr>
              <w:spacing w:line="480" w:lineRule="auto"/>
              <w:rPr>
                <w:rFonts w:ascii="Times New Roman" w:hAnsi="Times New Roman" w:cs="Times New Roman"/>
                <w:sz w:val="24"/>
                <w:szCs w:val="24"/>
              </w:rPr>
            </w:pPr>
          </w:p>
        </w:tc>
      </w:tr>
      <w:tr w:rsidR="00C20C63" w:rsidTr="00C20C63">
        <w:tc>
          <w:tcPr>
            <w:tcW w:w="3192" w:type="dxa"/>
          </w:tcPr>
          <w:p w:rsidR="00C20C63" w:rsidRPr="00863A05" w:rsidRDefault="00863A05" w:rsidP="00C20C63">
            <w:pPr>
              <w:spacing w:line="480" w:lineRule="auto"/>
              <w:rPr>
                <w:rFonts w:ascii="Times New Roman" w:hAnsi="Times New Roman" w:cs="Times New Roman"/>
                <w:b/>
                <w:sz w:val="24"/>
                <w:szCs w:val="24"/>
              </w:rPr>
            </w:pPr>
            <w:r w:rsidRPr="00863A05">
              <w:rPr>
                <w:rFonts w:ascii="Times New Roman" w:hAnsi="Times New Roman" w:cs="Times New Roman"/>
                <w:b/>
                <w:sz w:val="24"/>
                <w:szCs w:val="24"/>
              </w:rPr>
              <w:t xml:space="preserve">Expenses Total </w:t>
            </w:r>
          </w:p>
        </w:tc>
        <w:tc>
          <w:tcPr>
            <w:tcW w:w="3192" w:type="dxa"/>
          </w:tcPr>
          <w:p w:rsidR="00C20C63" w:rsidRPr="00863A05" w:rsidRDefault="00863A05" w:rsidP="00C20C63">
            <w:pPr>
              <w:spacing w:line="480" w:lineRule="auto"/>
              <w:rPr>
                <w:rFonts w:ascii="Times New Roman" w:hAnsi="Times New Roman" w:cs="Times New Roman"/>
                <w:b/>
                <w:sz w:val="24"/>
                <w:szCs w:val="24"/>
              </w:rPr>
            </w:pPr>
            <w:r w:rsidRPr="00863A05">
              <w:rPr>
                <w:rFonts w:ascii="Times New Roman" w:hAnsi="Times New Roman" w:cs="Times New Roman"/>
                <w:b/>
                <w:sz w:val="24"/>
                <w:szCs w:val="24"/>
              </w:rPr>
              <w:t>$110,000</w:t>
            </w:r>
          </w:p>
        </w:tc>
        <w:tc>
          <w:tcPr>
            <w:tcW w:w="3192" w:type="dxa"/>
          </w:tcPr>
          <w:p w:rsidR="00C20C63" w:rsidRDefault="00C20C63" w:rsidP="00C20C63">
            <w:pPr>
              <w:spacing w:line="480" w:lineRule="auto"/>
              <w:rPr>
                <w:rFonts w:ascii="Times New Roman" w:hAnsi="Times New Roman" w:cs="Times New Roman"/>
                <w:sz w:val="24"/>
                <w:szCs w:val="24"/>
              </w:rPr>
            </w:pPr>
          </w:p>
        </w:tc>
      </w:tr>
      <w:tr w:rsidR="00C20C63" w:rsidTr="00C20C63">
        <w:tc>
          <w:tcPr>
            <w:tcW w:w="3192" w:type="dxa"/>
          </w:tcPr>
          <w:p w:rsidR="00C20C63" w:rsidRDefault="00C20C63" w:rsidP="00C20C63">
            <w:pPr>
              <w:spacing w:line="480" w:lineRule="auto"/>
              <w:rPr>
                <w:rFonts w:ascii="Times New Roman" w:hAnsi="Times New Roman" w:cs="Times New Roman"/>
                <w:sz w:val="24"/>
                <w:szCs w:val="24"/>
              </w:rPr>
            </w:pPr>
          </w:p>
        </w:tc>
        <w:tc>
          <w:tcPr>
            <w:tcW w:w="3192" w:type="dxa"/>
          </w:tcPr>
          <w:p w:rsidR="00C20C63" w:rsidRDefault="00C20C63" w:rsidP="00C20C63">
            <w:pPr>
              <w:spacing w:line="480" w:lineRule="auto"/>
              <w:rPr>
                <w:rFonts w:ascii="Times New Roman" w:hAnsi="Times New Roman" w:cs="Times New Roman"/>
                <w:sz w:val="24"/>
                <w:szCs w:val="24"/>
              </w:rPr>
            </w:pPr>
          </w:p>
        </w:tc>
        <w:tc>
          <w:tcPr>
            <w:tcW w:w="3192" w:type="dxa"/>
          </w:tcPr>
          <w:p w:rsidR="00C20C63" w:rsidRDefault="00C20C63" w:rsidP="00C20C63">
            <w:pPr>
              <w:spacing w:line="480" w:lineRule="auto"/>
              <w:rPr>
                <w:rFonts w:ascii="Times New Roman" w:hAnsi="Times New Roman" w:cs="Times New Roman"/>
                <w:sz w:val="24"/>
                <w:szCs w:val="24"/>
              </w:rPr>
            </w:pPr>
          </w:p>
        </w:tc>
      </w:tr>
    </w:tbl>
    <w:p w:rsidR="00C20C63" w:rsidRDefault="00C20C63" w:rsidP="00C20C63">
      <w:pPr>
        <w:spacing w:after="0" w:line="480" w:lineRule="auto"/>
        <w:rPr>
          <w:rFonts w:ascii="Times New Roman" w:hAnsi="Times New Roman" w:cs="Times New Roman"/>
          <w:sz w:val="24"/>
          <w:szCs w:val="24"/>
        </w:rPr>
      </w:pPr>
    </w:p>
    <w:p w:rsidR="00863A05" w:rsidRDefault="00863A05"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416739" w:rsidRDefault="00416739" w:rsidP="00C20C63">
      <w:pPr>
        <w:spacing w:after="0" w:line="480" w:lineRule="auto"/>
        <w:rPr>
          <w:rFonts w:ascii="Times New Roman" w:hAnsi="Times New Roman" w:cs="Times New Roman"/>
          <w:sz w:val="24"/>
          <w:szCs w:val="24"/>
        </w:rPr>
      </w:pPr>
    </w:p>
    <w:p w:rsidR="00863A05" w:rsidRPr="00416739" w:rsidRDefault="00416739" w:rsidP="00416739">
      <w:pPr>
        <w:spacing w:after="0" w:line="480" w:lineRule="auto"/>
        <w:jc w:val="center"/>
        <w:rPr>
          <w:rFonts w:ascii="Times New Roman" w:hAnsi="Times New Roman" w:cs="Times New Roman"/>
          <w:b/>
          <w:sz w:val="24"/>
          <w:szCs w:val="24"/>
        </w:rPr>
      </w:pPr>
      <w:r w:rsidRPr="00416739">
        <w:rPr>
          <w:rFonts w:ascii="Times New Roman" w:hAnsi="Times New Roman" w:cs="Times New Roman"/>
          <w:b/>
          <w:sz w:val="24"/>
          <w:szCs w:val="24"/>
        </w:rPr>
        <w:lastRenderedPageBreak/>
        <w:t>References</w:t>
      </w:r>
    </w:p>
    <w:p w:rsidR="00AF323F" w:rsidRDefault="00AF323F" w:rsidP="00416739">
      <w:pPr>
        <w:spacing w:after="0" w:line="480" w:lineRule="auto"/>
        <w:ind w:left="720" w:hanging="720"/>
        <w:rPr>
          <w:rFonts w:ascii="Times New Roman" w:hAnsi="Times New Roman" w:cs="Times New Roman"/>
          <w:sz w:val="24"/>
          <w:szCs w:val="24"/>
        </w:rPr>
      </w:pPr>
      <w:r w:rsidRPr="00AF323F">
        <w:rPr>
          <w:rFonts w:ascii="Times New Roman" w:hAnsi="Times New Roman" w:cs="Times New Roman"/>
          <w:sz w:val="24"/>
          <w:szCs w:val="24"/>
        </w:rPr>
        <w:t xml:space="preserve">Berman, M., Bozsik, F., Shook, R. P., Meissen-Sebelius, E., Markenson, D., Summar, S., ... &amp; Carlson, J. A. (2018). Peer Reviewed: Evaluation of the Healthy Lifestyles Initiative for Improving Community Capacity for Childhood Obesity Prevention. </w:t>
      </w:r>
      <w:r w:rsidRPr="00AF323F">
        <w:rPr>
          <w:rFonts w:ascii="Times New Roman" w:hAnsi="Times New Roman" w:cs="Times New Roman"/>
          <w:i/>
          <w:sz w:val="24"/>
          <w:szCs w:val="24"/>
        </w:rPr>
        <w:t>Preventing chronic disease,</w:t>
      </w:r>
      <w:r w:rsidRPr="00AF323F">
        <w:rPr>
          <w:rFonts w:ascii="Times New Roman" w:hAnsi="Times New Roman" w:cs="Times New Roman"/>
          <w:sz w:val="24"/>
          <w:szCs w:val="24"/>
        </w:rPr>
        <w:t xml:space="preserve"> 15.</w:t>
      </w:r>
    </w:p>
    <w:p w:rsidR="00AF323F" w:rsidRDefault="00AF323F" w:rsidP="00416739">
      <w:pPr>
        <w:spacing w:after="0" w:line="480" w:lineRule="auto"/>
        <w:ind w:left="720" w:hanging="720"/>
        <w:rPr>
          <w:rFonts w:ascii="Times New Roman" w:hAnsi="Times New Roman" w:cs="Times New Roman"/>
          <w:sz w:val="24"/>
          <w:szCs w:val="24"/>
        </w:rPr>
      </w:pPr>
      <w:r w:rsidRPr="00AF323F">
        <w:rPr>
          <w:rFonts w:ascii="Times New Roman" w:hAnsi="Times New Roman" w:cs="Times New Roman"/>
          <w:sz w:val="24"/>
          <w:szCs w:val="24"/>
        </w:rPr>
        <w:t xml:space="preserve">How Can Rural Communities Address Obesity? - Rural Obesity Prevention Toolkit. (2019). Retrieved 22 October 2019, from </w:t>
      </w:r>
      <w:hyperlink r:id="rId7" w:history="1">
        <w:r w:rsidR="00416739" w:rsidRPr="00B47FD1">
          <w:rPr>
            <w:rStyle w:val="Hyperlink"/>
            <w:rFonts w:ascii="Times New Roman" w:hAnsi="Times New Roman" w:cs="Times New Roman"/>
            <w:sz w:val="24"/>
            <w:szCs w:val="24"/>
          </w:rPr>
          <w:t>https://www.ruralhealthinfo.org/toolkits/obesity/5/communities/how-can-rural-communities-address-obesity</w:t>
        </w:r>
      </w:hyperlink>
    </w:p>
    <w:p w:rsidR="00416739" w:rsidRDefault="00416739" w:rsidP="00416739">
      <w:pPr>
        <w:spacing w:after="0" w:line="480" w:lineRule="auto"/>
        <w:ind w:left="720" w:hanging="720"/>
        <w:rPr>
          <w:rFonts w:ascii="Times New Roman" w:hAnsi="Times New Roman" w:cs="Times New Roman"/>
          <w:sz w:val="24"/>
          <w:szCs w:val="24"/>
        </w:rPr>
      </w:pPr>
      <w:r w:rsidRPr="00416739">
        <w:rPr>
          <w:rFonts w:ascii="Times New Roman" w:hAnsi="Times New Roman" w:cs="Times New Roman"/>
          <w:sz w:val="24"/>
          <w:szCs w:val="24"/>
        </w:rPr>
        <w:t xml:space="preserve">Morton, K. L., Atkin, A. J., Corder, K., Suhrcke, M., Turner, D., &amp; Van Sluijs, E. M. (2017). Engaging stakeholders and target groups in prioritising a public health intervention: the Creating Active School Environments (CASE) online Delphi study. </w:t>
      </w:r>
      <w:r w:rsidRPr="00416739">
        <w:rPr>
          <w:rFonts w:ascii="Times New Roman" w:hAnsi="Times New Roman" w:cs="Times New Roman"/>
          <w:i/>
          <w:sz w:val="24"/>
          <w:szCs w:val="24"/>
        </w:rPr>
        <w:t>BMJ open</w:t>
      </w:r>
      <w:r w:rsidRPr="00416739">
        <w:rPr>
          <w:rFonts w:ascii="Times New Roman" w:hAnsi="Times New Roman" w:cs="Times New Roman"/>
          <w:sz w:val="24"/>
          <w:szCs w:val="24"/>
        </w:rPr>
        <w:t>, 7(1), e013340.</w:t>
      </w:r>
    </w:p>
    <w:p w:rsidR="00863A05" w:rsidRPr="00B13160" w:rsidRDefault="00863A05" w:rsidP="00416739">
      <w:pPr>
        <w:spacing w:after="0" w:line="480" w:lineRule="auto"/>
        <w:ind w:left="720" w:hanging="720"/>
        <w:rPr>
          <w:rFonts w:ascii="Times New Roman" w:hAnsi="Times New Roman" w:cs="Times New Roman"/>
          <w:sz w:val="24"/>
          <w:szCs w:val="24"/>
        </w:rPr>
      </w:pPr>
      <w:r w:rsidRPr="00863A05">
        <w:rPr>
          <w:rFonts w:ascii="Times New Roman" w:hAnsi="Times New Roman" w:cs="Times New Roman"/>
          <w:sz w:val="24"/>
          <w:szCs w:val="24"/>
        </w:rPr>
        <w:t>Quain, S. (2019). Barriers &amp; Challenges to Change Implementation. Retrieved 22 October 2019, from https://smallbusiness.chron.com/barriers-challenges-change-implementation-30842.html</w:t>
      </w:r>
      <w:bookmarkStart w:id="0" w:name="_GoBack"/>
      <w:bookmarkEnd w:id="0"/>
    </w:p>
    <w:sectPr w:rsidR="00863A05" w:rsidRPr="00B13160" w:rsidSect="00092D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F68" w:rsidRDefault="00D62F68" w:rsidP="00092D42">
      <w:pPr>
        <w:spacing w:after="0" w:line="240" w:lineRule="auto"/>
      </w:pPr>
      <w:r>
        <w:separator/>
      </w:r>
    </w:p>
  </w:endnote>
  <w:endnote w:type="continuationSeparator" w:id="0">
    <w:p w:rsidR="00D62F68" w:rsidRDefault="00D62F68"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F68" w:rsidRDefault="00D62F68" w:rsidP="00092D42">
      <w:pPr>
        <w:spacing w:after="0" w:line="240" w:lineRule="auto"/>
      </w:pPr>
      <w:r>
        <w:separator/>
      </w:r>
    </w:p>
  </w:footnote>
  <w:footnote w:type="continuationSeparator" w:id="0">
    <w:p w:rsidR="00D62F68" w:rsidRDefault="00D62F68"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Default="00D62F68">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6A59E3" w:rsidRPr="006A59E3">
          <w:rPr>
            <w:rFonts w:ascii="Times New Roman" w:hAnsi="Times New Roman" w:cs="Times New Roman"/>
            <w:sz w:val="24"/>
            <w:szCs w:val="24"/>
          </w:rPr>
          <w:t>PLANNING FOR A COMMUNITY AND ORGANIZATIONAL CHANGE</w:t>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fldChar w:fldCharType="begin"/>
        </w:r>
        <w:r w:rsidR="00092D42" w:rsidRPr="00092D42">
          <w:rPr>
            <w:rFonts w:ascii="Times New Roman" w:hAnsi="Times New Roman" w:cs="Times New Roman"/>
            <w:sz w:val="24"/>
            <w:szCs w:val="24"/>
          </w:rPr>
          <w:instrText xml:space="preserve"> PAGE   \* MERGEFORMAT </w:instrText>
        </w:r>
        <w:r w:rsidR="00092D42" w:rsidRPr="00092D42">
          <w:rPr>
            <w:rFonts w:ascii="Times New Roman" w:hAnsi="Times New Roman" w:cs="Times New Roman"/>
            <w:sz w:val="24"/>
            <w:szCs w:val="24"/>
          </w:rPr>
          <w:fldChar w:fldCharType="separate"/>
        </w:r>
        <w:r w:rsidR="00416739">
          <w:rPr>
            <w:rFonts w:ascii="Times New Roman" w:hAnsi="Times New Roman" w:cs="Times New Roman"/>
            <w:noProof/>
            <w:sz w:val="24"/>
            <w:szCs w:val="24"/>
          </w:rPr>
          <w:t>7</w:t>
        </w:r>
        <w:r w:rsidR="00092D42"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r w:rsidR="006A59E3" w:rsidRPr="006A59E3">
      <w:rPr>
        <w:rFonts w:ascii="Times New Roman" w:hAnsi="Times New Roman" w:cs="Times New Roman"/>
        <w:sz w:val="24"/>
        <w:szCs w:val="24"/>
      </w:rPr>
      <w:t>PLANNING FOR A COMMUNITY AND ORGANIZATIONAL CHANGE</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AF323F">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092D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92D42"/>
    <w:rsid w:val="000A536E"/>
    <w:rsid w:val="000A6447"/>
    <w:rsid w:val="000B28A5"/>
    <w:rsid w:val="000B5371"/>
    <w:rsid w:val="000E4812"/>
    <w:rsid w:val="000F7BA3"/>
    <w:rsid w:val="001453F1"/>
    <w:rsid w:val="00187263"/>
    <w:rsid w:val="001B006B"/>
    <w:rsid w:val="001E4692"/>
    <w:rsid w:val="001E7B42"/>
    <w:rsid w:val="00301E23"/>
    <w:rsid w:val="00334F09"/>
    <w:rsid w:val="00416739"/>
    <w:rsid w:val="0042252C"/>
    <w:rsid w:val="00446488"/>
    <w:rsid w:val="0053672F"/>
    <w:rsid w:val="0064571B"/>
    <w:rsid w:val="006A59E3"/>
    <w:rsid w:val="00734686"/>
    <w:rsid w:val="00757740"/>
    <w:rsid w:val="00784295"/>
    <w:rsid w:val="00833B7B"/>
    <w:rsid w:val="00863A05"/>
    <w:rsid w:val="008F2163"/>
    <w:rsid w:val="00911688"/>
    <w:rsid w:val="00980179"/>
    <w:rsid w:val="00A11081"/>
    <w:rsid w:val="00A2656D"/>
    <w:rsid w:val="00A42002"/>
    <w:rsid w:val="00A46C03"/>
    <w:rsid w:val="00AC4C86"/>
    <w:rsid w:val="00AF1F76"/>
    <w:rsid w:val="00AF323F"/>
    <w:rsid w:val="00AF4638"/>
    <w:rsid w:val="00B13160"/>
    <w:rsid w:val="00B13273"/>
    <w:rsid w:val="00C20C63"/>
    <w:rsid w:val="00D06B11"/>
    <w:rsid w:val="00D62F68"/>
    <w:rsid w:val="00DB74A7"/>
    <w:rsid w:val="00E317C2"/>
    <w:rsid w:val="00E5792F"/>
    <w:rsid w:val="00E73026"/>
    <w:rsid w:val="00F7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table" w:styleId="TableGrid">
    <w:name w:val="Table Grid"/>
    <w:basedOn w:val="TableNormal"/>
    <w:uiPriority w:val="39"/>
    <w:rsid w:val="00C20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table" w:styleId="TableGrid">
    <w:name w:val="Table Grid"/>
    <w:basedOn w:val="TableNormal"/>
    <w:uiPriority w:val="39"/>
    <w:rsid w:val="00C20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uralhealthinfo.org/toolkits/obesity/5/communities/how-can-rural-communities-address-obesi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7</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2019-10-22T21:31:00Z</dcterms:created>
  <dcterms:modified xsi:type="dcterms:W3CDTF">2019-10-22T22:50:00Z</dcterms:modified>
</cp:coreProperties>
</file>